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65b0e29ca4c8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23034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Laslovo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734.189,13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826.269,36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735.667,39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867.456,84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1.478,26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41.187,48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2786,2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16.729,69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2.527,04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16.729,69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4.005,30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57.917,17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1446,0</w:t>
            </w:r>
          </w:p>
        </w:tc>
      </w:tr>
    </w:tbl>
    <w:p>
      <w:pPr>
        <w:spacing w:before="0" w:after="0"/>
      </w:pPr>
    </w:p>
    <w:p>
      <w:r>
        <w:t xml:space="preserve">Manjak prihoda i primitaka rezultat je primjene Novog Pravilnika o proračunskom računovodstvu (Nar. nov., br. 158/2023., 154/2024.) koji se  počeo se primjenjivati u knjigovodstvenim evidencijama od 1. siječnja 2025. godine, te se u izvještaju prikazuje trošak jedne plaće više u odnosu na izvještajno razdoblje za 2024.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1100</w:t>
            </w:r>
          </w:p>
        </w:tc>
      </w:tr>
    </w:tbl>
    <w:p>
      <w:pPr>
        <w:spacing w:before="0" w:after="0"/>
      </w:pPr>
    </w:p>
    <w:p>
      <w:r>
        <w:t xml:space="preserve">Tekuće donacije ostvarene su za 1.000,00 % više u odnosu na prethodnu godinu zbog realiziranih učeničkih ekskurzija za koje su primjene namjenske donacije za isplatu dnevnica učiteljima.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21.297,04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24.101,66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Naknada za prijevoz na posao i s posla ostvarena su za 13,2% više u odnosu na prethodnu godinu, a rezultat su primjene Novog Pravilnika o proračunskom računovodstvu (Nar. nov., br. 158/2023., 154/2024.) koji se  počeo se primjenjivati u knjigovodstvenim evidencijama od 1. siječnja 2025. godine, te se u izvještaju prikazuje trošak jedne isplate više u odnosu na izvještajno razdoblje za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889,5</w:t>
            </w:r>
          </w:p>
        </w:tc>
      </w:tr>
    </w:tbl>
    <w:p>
      <w:pPr>
        <w:spacing w:before="0" w:after="0"/>
      </w:pPr>
    </w:p>
    <w:p>
      <w:r>
        <w:t xml:space="preserve">Iznos je veći u odnosu na 2024. godinu zbog nabave sitnog inventara za potrebe učeničke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 za Usluge promidžbe i informiranja iznosi 940,00 eur. Odnosi se na trošak usluge oglašavanja u Narodnim novinama  za objavu  oglasa za natječaj vezano uz izbor ravnatelja.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1043,0</w:t>
            </w:r>
          </w:p>
        </w:tc>
      </w:tr>
    </w:tbl>
    <w:p>
      <w:pPr>
        <w:spacing w:before="0" w:after="0"/>
      </w:pPr>
    </w:p>
    <w:p>
      <w:r>
        <w:t xml:space="preserve">Iznos je veći u odnosu na 2024. zbog plaćanja Izrade elaborata procjene rizika kućne vodoopskrbne mreže koji smo dužni napraviti na temelju Zakona o vodi za ljudsku potrošnju NN 30/23.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851,1</w:t>
            </w:r>
          </w:p>
        </w:tc>
      </w:tr>
    </w:tbl>
    <w:p>
      <w:pPr>
        <w:spacing w:before="0" w:after="0"/>
      </w:pPr>
    </w:p>
    <w:p>
      <w:r>
        <w:t xml:space="preserve">Iznos je veći u odnosu na 2024. jer su odobrena sredstva iz Županijskog proračuna za kupovinu blagovaonskih stolova za potrebe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7.212,10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2373,2</w:t>
            </w:r>
          </w:p>
        </w:tc>
      </w:tr>
    </w:tbl>
    <w:p>
      <w:pPr>
        <w:spacing w:before="0" w:after="0"/>
      </w:pPr>
    </w:p>
    <w:p>
      <w:r>
        <w:t xml:space="preserve">Iznos je veći u odnosu na 2024. jer su odobrena sredstva iz Županijskog proračuna za kupovinu sigurnosne brave na ulaznim vratima škole, kupovinu klima uređaja i konvektomata za kuhinju.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1.042.477,69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1.034.584,43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</w:tbl>
    <w:p>
      <w:pPr>
        <w:spacing w:before="0" w:after="0"/>
      </w:pPr>
    </w:p>
    <w:p>
      <w:r>
        <w:t xml:space="preserve">Sukladno čl. 19. Pravilnika o proračunskom računovodstvu i računskom planu vrijednost dugotrajne imovine ispravlja se po prosječnim godišnjim stopama linearnom metodom, iznimno vrijednosti prirodnih bogatstava (podskupina 011). Ukupna vrijednost nefinancijske imovine na dan 31.12.2025. godine iznosi 1.034.584,43€.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4276,8</w:t>
            </w:r>
          </w:p>
        </w:tc>
      </w:tr>
    </w:tbl>
    <w:p>
      <w:pPr>
        <w:spacing w:before="0" w:after="0"/>
      </w:pPr>
    </w:p>
    <w:p>
      <w:r>
        <w:t xml:space="preserve">Iznos je veći jer se odnosi na potraživanje za ozljedu na radu na plaći za 11. i 12. mjesec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54.382,28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Pravilnikom o proračunskom računovodstvu i računskom planu, u članku 233. propisano je da se s danom 1.1.2025. ukida podskupina 193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1989,2</w:t>
            </w:r>
          </w:p>
        </w:tc>
      </w:tr>
    </w:tbl>
    <w:p>
      <w:pPr>
        <w:spacing w:before="0" w:after="0"/>
      </w:pPr>
    </w:p>
    <w:p>
      <w:r>
        <w:t xml:space="preserve">Izmjenama u Računskom planu, dodana je nova skupina 27 za iskazivanje stanja pripadajućih osnovnih računa obveza. Slijedom navedenog s 1.1.2025. preneseno je stanje sa 23958 na 27612 - Obveze proračunskih korisnika za povrat u proračun-bolovanje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308.446,09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308.446,09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Inventurna lista s imovinom u vlasništvu Osječko-baranjske županije. Inv.broj: 4400268, OŠ Laslovo (krovište, vanjska ovojnica, stolarija), nabavna vrijednost : 308.446,09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65.965,00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1098,6</w:t>
            </w:r>
          </w:p>
        </w:tc>
      </w:tr>
    </w:tbl>
    <w:p>
      <w:pPr>
        <w:spacing w:before="0" w:after="0"/>
      </w:pPr>
    </w:p>
    <w:p>
      <w:r>
        <w:t xml:space="preserve">Potraživanja za prihode poslovanja - nedospjela - kao što smo naveli tu se nalaze plaća i materijalna prava koja će biti isplaćena u 01.2026.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osnovi sudskih sporova u tijeku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članku 15. Pravilnika o financijskom izvještavanju nemamo Sudskih sporova u tijeku, kao ni ugovornih odnosa koji uz ispunjenje određenih uvjeta, mogu postati obveza ili imovina (dana kreditna pisma, hipoteke i slično).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738.194,43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884.186,53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</w:tbl>
    <w:p>
      <w:pPr>
        <w:spacing w:before="0" w:after="0"/>
      </w:pPr>
    </w:p>
    <w:p>
      <w:r>
        <w:t xml:space="preserve">U obrascu su iskazani rashodi poslovanja i rashodi za nabavu nefinancijske imovine razvrstani prema njihovoj namjeni. Isti podatak iskazan je na poziciji Y034 Obrasca: PR-RAS. Prema tumačenju Ministarstva znanosti i obrazovanja, svi rashodi ostvareni u 2025. godini bez prenesenog rezultata iskazuju se na jednoj funkciji 09 Obrazovanje – 884.186,53€.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31.997,07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Novi Pravilnik o proračunskom računovodstvu i računskom planu primjenjuje se u knjigovodstvenim evidencijama od 1. siječnja 2025. godine i propisuje kao i dosadašnji primjenu modificiranog računovodstvenog načela nastanka događaja. Nabavna vrijednost iskazuje kao rashod u trenutku nabave.</w:t>
      </w:r>
      <w:r>
        <w:br/>
      </w:r>
      <w:r>
        <w:t xml:space="preserve">Tijekom korištenja imovine obračunava se ispravak vrijednosti. Ispravak vrijednosti ne tereti rashode, već se evidentira na teret vlastitih izvora, čime se osigurava pravilno i zakonito financijsko praćenje imovine u proračunskom sustavu. Knjigovodstveno evidentiranje ispravka vrijednosti dugotrajne nefinancijske imovine provodi se preko osnovnog računa 91511 promjene u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0,00 eura jer su sve obveze plaćene po dospijeću.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67.242,11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je nedospjelih obveza na kraju obračunskog razdoblja ( plaća za 12. mjesec 2025. koja dospijeva 9.01.2026.) i obveze za ostale materijalne rashode, financijske rashode, ostale tekuće obveze koje dospijevaju tijekom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b335110ad14b26" /></Relationships>
</file>